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5C" w:rsidRDefault="0069655C" w:rsidP="00696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итоговой диагностики</w:t>
      </w:r>
    </w:p>
    <w:p w:rsidR="0069655C" w:rsidRDefault="0069655C" w:rsidP="00696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пяти областям </w:t>
      </w:r>
    </w:p>
    <w:p w:rsidR="0069655C" w:rsidRDefault="0069655C" w:rsidP="0069655C">
      <w:pPr>
        <w:spacing w:line="360" w:lineRule="auto"/>
        <w:jc w:val="center"/>
        <w:rPr>
          <w:b/>
        </w:rPr>
      </w:pPr>
    </w:p>
    <w:p w:rsidR="0069655C" w:rsidRDefault="0069655C" w:rsidP="0069655C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6032296" wp14:editId="11529229">
            <wp:extent cx="6210300" cy="36290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9655C" w:rsidRDefault="0069655C" w:rsidP="0069655C">
      <w:pPr>
        <w:tabs>
          <w:tab w:val="left" w:pos="2805"/>
        </w:tabs>
        <w:jc w:val="center"/>
        <w:rPr>
          <w:b/>
          <w:color w:val="FF0000"/>
        </w:rPr>
      </w:pPr>
    </w:p>
    <w:tbl>
      <w:tblPr>
        <w:tblStyle w:val="a3"/>
        <w:tblW w:w="11039" w:type="dxa"/>
        <w:tblInd w:w="-1261" w:type="dxa"/>
        <w:tblLook w:val="04A0" w:firstRow="1" w:lastRow="0" w:firstColumn="1" w:lastColumn="0" w:noHBand="0" w:noVBand="1"/>
      </w:tblPr>
      <w:tblGrid>
        <w:gridCol w:w="3822"/>
        <w:gridCol w:w="1610"/>
        <w:gridCol w:w="1585"/>
        <w:gridCol w:w="1605"/>
        <w:gridCol w:w="2417"/>
      </w:tblGrid>
      <w:tr w:rsidR="0069655C" w:rsidTr="0004230C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</w:p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Области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группа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к школе группа</w:t>
            </w:r>
          </w:p>
        </w:tc>
      </w:tr>
      <w:tr w:rsidR="0069655C" w:rsidTr="0004230C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74%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96%</w:t>
            </w:r>
          </w:p>
        </w:tc>
      </w:tr>
      <w:tr w:rsidR="0069655C" w:rsidTr="0004230C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84%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69655C" w:rsidTr="0004230C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Социально-коммуникативная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89%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69655C" w:rsidTr="0004230C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Речевая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81%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93%</w:t>
            </w:r>
          </w:p>
        </w:tc>
      </w:tr>
      <w:tr w:rsidR="0069655C" w:rsidTr="0004230C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5C" w:rsidRDefault="0069655C" w:rsidP="00042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69655C" w:rsidRDefault="0069655C" w:rsidP="0069655C">
      <w:pPr>
        <w:spacing w:line="360" w:lineRule="auto"/>
        <w:jc w:val="both"/>
      </w:pPr>
    </w:p>
    <w:p w:rsidR="0069655C" w:rsidRDefault="0069655C" w:rsidP="0069655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Предлагаемая диагностика разработана с целью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интеграции пяти образовательных  областей  с  музыкой. Это достигается путём использования общепринятых критериев развития детей данного возраста и уровневым подходом к оценке достижений ребёнка по принципу: индивидуального, дифференцированного подхода к каждому ребёнку.      Система мониторинга </w:t>
      </w:r>
      <w:proofErr w:type="gramStart"/>
      <w:r>
        <w:rPr>
          <w:rFonts w:eastAsia="Calibri"/>
          <w:bCs/>
          <w:sz w:val="28"/>
          <w:szCs w:val="28"/>
        </w:rPr>
        <w:t>содержит показатели каждой из областей так физическое</w:t>
      </w:r>
      <w:r>
        <w:rPr>
          <w:rFonts w:eastAsia="Calibri"/>
          <w:b/>
          <w:bCs/>
          <w:sz w:val="28"/>
          <w:szCs w:val="28"/>
        </w:rPr>
        <w:t xml:space="preserve"> развитие</w:t>
      </w:r>
      <w:r>
        <w:rPr>
          <w:rFonts w:eastAsia="Calibri"/>
          <w:bCs/>
          <w:sz w:val="28"/>
          <w:szCs w:val="28"/>
        </w:rPr>
        <w:t xml:space="preserve"> рассматривается</w:t>
      </w:r>
      <w:proofErr w:type="gramEnd"/>
      <w:r>
        <w:rPr>
          <w:rFonts w:eastAsia="Calibri"/>
          <w:bCs/>
          <w:sz w:val="28"/>
          <w:szCs w:val="28"/>
        </w:rPr>
        <w:t xml:space="preserve"> не только как общее развитие организма ребёнка, а как целостный подход, а это включение в показатели мониторинга такие параметры как:</w:t>
      </w:r>
    </w:p>
    <w:p w:rsidR="0069655C" w:rsidRDefault="0069655C" w:rsidP="0069655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 с удовольствием ли ребёнок двигается и выполняет упражнения под музыку;</w:t>
      </w:r>
    </w:p>
    <w:p w:rsidR="0069655C" w:rsidRDefault="0069655C" w:rsidP="0069655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-испытывает  радость от двигательной активности;</w:t>
      </w:r>
    </w:p>
    <w:p w:rsidR="0069655C" w:rsidRDefault="0069655C" w:rsidP="0069655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-развитие физических качеств – ловкость   и быстрота, выносливость и координация движений (подвижные игры, музыкально-</w:t>
      </w:r>
      <w:proofErr w:type="gramStart"/>
      <w:r>
        <w:rPr>
          <w:rFonts w:eastAsia="Calibri"/>
          <w:bCs/>
          <w:sz w:val="28"/>
          <w:szCs w:val="28"/>
        </w:rPr>
        <w:t>ритмические движения</w:t>
      </w:r>
      <w:proofErr w:type="gramEnd"/>
      <w:r>
        <w:rPr>
          <w:rFonts w:eastAsia="Calibri"/>
          <w:bCs/>
          <w:sz w:val="28"/>
          <w:szCs w:val="28"/>
        </w:rPr>
        <w:t>, танцы);</w:t>
      </w:r>
    </w:p>
    <w:p w:rsidR="0069655C" w:rsidRDefault="0069655C" w:rsidP="0069655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  формирование у ребёнка потребности в двигательной активности под инструментальную, живую, шумовую (бубен, ложки, барабан и др. шумовые инструменты) музыку.</w:t>
      </w:r>
    </w:p>
    <w:p w:rsidR="0069655C" w:rsidRDefault="0069655C" w:rsidP="0069655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Содержание образовательной области</w:t>
      </w:r>
      <w:r>
        <w:rPr>
          <w:rFonts w:eastAsia="Calibri"/>
          <w:b/>
          <w:bCs/>
          <w:sz w:val="28"/>
          <w:szCs w:val="28"/>
        </w:rPr>
        <w:t xml:space="preserve"> «Познание»</w:t>
      </w:r>
      <w:r>
        <w:rPr>
          <w:rFonts w:eastAsia="Calibri"/>
          <w:bCs/>
          <w:sz w:val="28"/>
          <w:szCs w:val="28"/>
        </w:rPr>
        <w:t xml:space="preserve"> направленно на достижение целей развития у детей познавательных интересов, интеллектуального развития детей </w:t>
      </w:r>
      <w:proofErr w:type="gramStart"/>
      <w:r>
        <w:rPr>
          <w:rFonts w:eastAsia="Calibri"/>
          <w:bCs/>
          <w:sz w:val="28"/>
          <w:szCs w:val="28"/>
        </w:rPr>
        <w:t>через</w:t>
      </w:r>
      <w:proofErr w:type="gramEnd"/>
      <w:r>
        <w:rPr>
          <w:rFonts w:eastAsia="Calibri"/>
          <w:bCs/>
          <w:sz w:val="28"/>
          <w:szCs w:val="28"/>
        </w:rPr>
        <w:t>:</w:t>
      </w:r>
    </w:p>
    <w:p w:rsidR="0069655C" w:rsidRDefault="0069655C" w:rsidP="0069655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rFonts w:eastAsia="Calibri"/>
          <w:bCs/>
          <w:sz w:val="28"/>
          <w:szCs w:val="28"/>
        </w:rPr>
        <w:t>- Сенсорное развитие форма, цвет (сравнение музыки или музыкальных произведений с геометрическими фигурами.</w:t>
      </w:r>
      <w:proofErr w:type="gramEnd"/>
      <w:r>
        <w:rPr>
          <w:rFonts w:eastAsia="Calibri"/>
          <w:bCs/>
          <w:sz w:val="28"/>
          <w:szCs w:val="28"/>
        </w:rPr>
        <w:t xml:space="preserve"> Цвет – когда ребёнок своё настроение может передать в цветовой гамме, и настроение музыки так же передать цветом, то </w:t>
      </w:r>
      <w:proofErr w:type="gramStart"/>
      <w:r>
        <w:rPr>
          <w:rFonts w:eastAsia="Calibri"/>
          <w:bCs/>
          <w:sz w:val="28"/>
          <w:szCs w:val="28"/>
        </w:rPr>
        <w:t>есть</w:t>
      </w:r>
      <w:proofErr w:type="gramEnd"/>
      <w:r>
        <w:rPr>
          <w:rFonts w:eastAsia="Calibri"/>
          <w:bCs/>
          <w:sz w:val="28"/>
          <w:szCs w:val="28"/>
        </w:rPr>
        <w:t xml:space="preserve"> то как он чувствует музыку). </w:t>
      </w:r>
      <w:proofErr w:type="gramStart"/>
      <w:r>
        <w:rPr>
          <w:rFonts w:eastAsia="Calibri"/>
          <w:bCs/>
          <w:sz w:val="28"/>
          <w:szCs w:val="28"/>
        </w:rPr>
        <w:t xml:space="preserve">Органы чувств – зрение, слух; умение сравнение 2-3 произведений одного жанра, но разного характера, темпа, ритма (например, марш – военный, спортивный, цирковой)  </w:t>
      </w:r>
      <w:proofErr w:type="gramEnd"/>
    </w:p>
    <w:p w:rsidR="0069655C" w:rsidRDefault="0069655C" w:rsidP="0069655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-Проектная деятельность. Создавать условия для реализации проектной деятельности творческого типа (различные виды музыки и её </w:t>
      </w:r>
      <w:proofErr w:type="gramStart"/>
      <w:r>
        <w:rPr>
          <w:rFonts w:eastAsia="Calibri"/>
          <w:bCs/>
          <w:sz w:val="28"/>
          <w:szCs w:val="28"/>
        </w:rPr>
        <w:t>значение</w:t>
      </w:r>
      <w:proofErr w:type="gramEnd"/>
      <w:r>
        <w:rPr>
          <w:rFonts w:eastAsia="Calibri"/>
          <w:bCs/>
          <w:sz w:val="28"/>
          <w:szCs w:val="28"/>
        </w:rPr>
        <w:t xml:space="preserve"> и влияние для реализации проекта). </w:t>
      </w:r>
      <w:proofErr w:type="gramStart"/>
      <w:r>
        <w:rPr>
          <w:rFonts w:eastAsia="Calibri"/>
          <w:bCs/>
          <w:sz w:val="28"/>
          <w:szCs w:val="28"/>
        </w:rPr>
        <w:t>Ориентировка в пространстве – совершенствовать умения ориентироваться в окружающем пространстве; понимать смысл пространственных отношений (впереди – сзади; слева – справа; между, рядом с, около).</w:t>
      </w:r>
      <w:proofErr w:type="gramEnd"/>
      <w:r>
        <w:rPr>
          <w:rFonts w:eastAsia="Calibri"/>
          <w:bCs/>
          <w:sz w:val="28"/>
          <w:szCs w:val="28"/>
        </w:rPr>
        <w:t xml:space="preserve">  Предметное и социальное окружение (</w:t>
      </w:r>
      <w:proofErr w:type="gramStart"/>
      <w:r>
        <w:rPr>
          <w:rFonts w:eastAsia="Calibri"/>
          <w:bCs/>
          <w:sz w:val="28"/>
          <w:szCs w:val="28"/>
        </w:rPr>
        <w:t>материалы</w:t>
      </w:r>
      <w:proofErr w:type="gramEnd"/>
      <w:r>
        <w:rPr>
          <w:rFonts w:eastAsia="Calibri"/>
          <w:bCs/>
          <w:sz w:val="28"/>
          <w:szCs w:val="28"/>
        </w:rPr>
        <w:t xml:space="preserve"> из которых изготовлены музыкальные инструменты: деревянные, металлические, глиняные, пластиковые и т.д.), расширять представление о профессиях, сферах человеческой деятельности.</w:t>
      </w:r>
    </w:p>
    <w:p w:rsidR="0069655C" w:rsidRDefault="0069655C" w:rsidP="0069655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-Ознакомление с природой, видеть музыку в природе (шелест листьев, ветер, шум дождя, пение птиц, изображение движений и звуков животного и пернатого мира); изменение времен года (сезонные праздники и развлечения; песни; слушание музыки, музыкально ритмические движения, танцы, танцевальные миниатюры, танцы, придуманные ребенко</w:t>
      </w:r>
      <w:proofErr w:type="gramStart"/>
      <w:r>
        <w:rPr>
          <w:rFonts w:eastAsia="Calibri"/>
          <w:bCs/>
          <w:sz w:val="28"/>
          <w:szCs w:val="28"/>
        </w:rPr>
        <w:t>м-</w:t>
      </w:r>
      <w:proofErr w:type="gramEnd"/>
      <w:r>
        <w:rPr>
          <w:rFonts w:eastAsia="Calibri"/>
          <w:bCs/>
          <w:sz w:val="28"/>
          <w:szCs w:val="28"/>
        </w:rPr>
        <w:t xml:space="preserve"> проявление детской инициативы).</w:t>
      </w:r>
    </w:p>
    <w:p w:rsidR="0069655C" w:rsidRDefault="0069655C" w:rsidP="0069655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Социально-коммуникативная область</w:t>
      </w:r>
      <w:r>
        <w:rPr>
          <w:rFonts w:eastAsia="Calibri"/>
          <w:bCs/>
          <w:sz w:val="28"/>
          <w:szCs w:val="28"/>
        </w:rPr>
        <w:t xml:space="preserve"> говорит сама за себя    – выявление у ребёнка первичных ценностных представлений</w:t>
      </w:r>
      <w:proofErr w:type="gramStart"/>
      <w:r>
        <w:rPr>
          <w:rFonts w:eastAsia="Calibri"/>
          <w:bCs/>
          <w:sz w:val="28"/>
          <w:szCs w:val="28"/>
        </w:rPr>
        <w:t>.</w:t>
      </w:r>
      <w:proofErr w:type="gramEnd"/>
      <w:r>
        <w:rPr>
          <w:rFonts w:eastAsia="Calibri"/>
          <w:bCs/>
          <w:sz w:val="28"/>
          <w:szCs w:val="28"/>
        </w:rPr>
        <w:t xml:space="preserve"> </w:t>
      </w:r>
      <w:proofErr w:type="gramStart"/>
      <w:r>
        <w:rPr>
          <w:rFonts w:eastAsia="Calibri"/>
          <w:bCs/>
          <w:sz w:val="28"/>
          <w:szCs w:val="28"/>
        </w:rPr>
        <w:t>с</w:t>
      </w:r>
      <w:proofErr w:type="gramEnd"/>
      <w:r>
        <w:rPr>
          <w:rFonts w:eastAsia="Calibri"/>
          <w:bCs/>
          <w:sz w:val="28"/>
          <w:szCs w:val="28"/>
        </w:rPr>
        <w:t xml:space="preserve"> морально-нравственной точки зрения, пользуясь соответствующей оценочной лексикой; знание и понимание моральных и поведенческих норм при общении с сверстниками и взрослыми. Способность оценивать сои поступки и поступки окружающих. Дать детям </w:t>
      </w:r>
      <w:proofErr w:type="gramStart"/>
      <w:r>
        <w:rPr>
          <w:rFonts w:eastAsia="Calibri"/>
          <w:bCs/>
          <w:sz w:val="28"/>
          <w:szCs w:val="28"/>
        </w:rPr>
        <w:t>понятия</w:t>
      </w:r>
      <w:proofErr w:type="gramEnd"/>
      <w:r>
        <w:rPr>
          <w:rFonts w:eastAsia="Calibri"/>
          <w:bCs/>
          <w:sz w:val="28"/>
          <w:szCs w:val="28"/>
        </w:rPr>
        <w:t xml:space="preserve"> что музыка может всё это передавать и рассказывать (например, Гречанинов «Ссора», Чайковский «Болезнь куклы», </w:t>
      </w:r>
      <w:proofErr w:type="spellStart"/>
      <w:r>
        <w:rPr>
          <w:rFonts w:eastAsia="Calibri"/>
          <w:bCs/>
          <w:sz w:val="28"/>
          <w:szCs w:val="28"/>
        </w:rPr>
        <w:t>Пляцковский</w:t>
      </w:r>
      <w:proofErr w:type="spellEnd"/>
      <w:r>
        <w:rPr>
          <w:rFonts w:eastAsia="Calibri"/>
          <w:bCs/>
          <w:sz w:val="28"/>
          <w:szCs w:val="28"/>
        </w:rPr>
        <w:t xml:space="preserve"> «Дружба крепкая», </w:t>
      </w:r>
      <w:proofErr w:type="spellStart"/>
      <w:r>
        <w:rPr>
          <w:rFonts w:eastAsia="Calibri"/>
          <w:bCs/>
          <w:sz w:val="28"/>
          <w:szCs w:val="28"/>
        </w:rPr>
        <w:t>Шаинский</w:t>
      </w:r>
      <w:proofErr w:type="spellEnd"/>
      <w:r>
        <w:rPr>
          <w:rFonts w:eastAsia="Calibri"/>
          <w:bCs/>
          <w:sz w:val="28"/>
          <w:szCs w:val="28"/>
        </w:rPr>
        <w:t xml:space="preserve"> «Улыбка» и др.).</w:t>
      </w:r>
    </w:p>
    <w:p w:rsidR="0069655C" w:rsidRDefault="0069655C" w:rsidP="0069655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Речевое развитие</w:t>
      </w:r>
      <w:r>
        <w:rPr>
          <w:rFonts w:eastAsia="Calibri"/>
          <w:bCs/>
          <w:sz w:val="28"/>
          <w:szCs w:val="28"/>
        </w:rPr>
        <w:t xml:space="preserve">. </w:t>
      </w:r>
      <w:proofErr w:type="gramStart"/>
      <w:r>
        <w:rPr>
          <w:rFonts w:eastAsia="Calibri"/>
          <w:bCs/>
          <w:sz w:val="28"/>
          <w:szCs w:val="28"/>
        </w:rPr>
        <w:t xml:space="preserve">Продолжать обогащать бытовой, природоведческий, общественный словарь, побуждать детей интересоваться смыслом слов, совершенствовать умение использовать разные части речи в точном соответствии с их значением  и целью высказывания, а так же помогать осваивать выразительные средства языка – это и описание и рассказы о музыке, тексты  песен, а песня и музыка имеют свою классификацию: </w:t>
      </w:r>
      <w:r>
        <w:rPr>
          <w:rFonts w:eastAsia="Calibri"/>
          <w:bCs/>
          <w:sz w:val="28"/>
          <w:szCs w:val="28"/>
        </w:rPr>
        <w:lastRenderedPageBreak/>
        <w:t>патриотические, календарные, сезонные, бытовые, религиозные («Пасха», «Колядки»), фольклорные (посиделки, «Масленица</w:t>
      </w:r>
      <w:proofErr w:type="gramEnd"/>
      <w:r>
        <w:rPr>
          <w:rFonts w:eastAsia="Calibri"/>
          <w:bCs/>
          <w:sz w:val="28"/>
          <w:szCs w:val="28"/>
        </w:rPr>
        <w:t>») и т.д.</w:t>
      </w:r>
    </w:p>
    <w:p w:rsidR="0069655C" w:rsidRDefault="0069655C" w:rsidP="0069655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Художественно эстетическое</w:t>
      </w:r>
      <w:r>
        <w:rPr>
          <w:rFonts w:eastAsia="Calibri"/>
          <w:bCs/>
          <w:sz w:val="28"/>
          <w:szCs w:val="28"/>
        </w:rPr>
        <w:t xml:space="preserve">  </w:t>
      </w:r>
      <w:r>
        <w:rPr>
          <w:rFonts w:eastAsia="Calibri"/>
          <w:b/>
          <w:bCs/>
          <w:sz w:val="28"/>
          <w:szCs w:val="28"/>
        </w:rPr>
        <w:t>развитие</w:t>
      </w:r>
      <w:r>
        <w:rPr>
          <w:rFonts w:eastAsia="Calibri"/>
          <w:bCs/>
          <w:sz w:val="28"/>
          <w:szCs w:val="28"/>
        </w:rPr>
        <w:t xml:space="preserve">  это соединение продуктивной деятельности детей с музыкой, развитие детского творчества, что приводит  к приобщению  к изобразительному искусству  через музыку (слушаем, поем, танцуем и всё это изображаем: рисуем, </w:t>
      </w:r>
      <w:proofErr w:type="spellStart"/>
      <w:r>
        <w:rPr>
          <w:rFonts w:eastAsia="Calibri"/>
          <w:bCs/>
          <w:sz w:val="28"/>
          <w:szCs w:val="28"/>
        </w:rPr>
        <w:t>апплицируем</w:t>
      </w:r>
      <w:proofErr w:type="spellEnd"/>
      <w:r>
        <w:rPr>
          <w:rFonts w:eastAsia="Calibri"/>
          <w:bCs/>
          <w:sz w:val="28"/>
          <w:szCs w:val="28"/>
        </w:rPr>
        <w:t>, лепим).</w:t>
      </w:r>
    </w:p>
    <w:p w:rsidR="0069655C" w:rsidRDefault="0069655C" w:rsidP="0069655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Интеграция  пяти образовательных областей с музыкой позволяет комплексно оценивать качество образовательной деятельности в группе и при необходимости индивидуализировать его для достижения уровня освоения каждым ребёнком содержания  образовательной программы учреждения.</w:t>
      </w:r>
    </w:p>
    <w:p w:rsidR="0069655C" w:rsidRDefault="0069655C" w:rsidP="0069655C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bookmarkStart w:id="0" w:name="_GoBack"/>
      <w:bookmarkEnd w:id="0"/>
      <w:r>
        <w:rPr>
          <w:rFonts w:eastAsia="Calibri"/>
          <w:b/>
          <w:bCs/>
          <w:sz w:val="28"/>
          <w:szCs w:val="28"/>
        </w:rPr>
        <w:t>Основные диагностические методы:</w:t>
      </w:r>
    </w:p>
    <w:p w:rsidR="0069655C" w:rsidRDefault="0069655C" w:rsidP="0069655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Наблюдение;</w:t>
      </w:r>
    </w:p>
    <w:p w:rsidR="0069655C" w:rsidRDefault="0069655C" w:rsidP="0069655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Беседа;</w:t>
      </w:r>
    </w:p>
    <w:p w:rsidR="0069655C" w:rsidRDefault="0069655C" w:rsidP="0069655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Проблемная (диагностическая</w:t>
      </w:r>
      <w:proofErr w:type="gramStart"/>
      <w:r>
        <w:rPr>
          <w:rFonts w:eastAsia="Calibri"/>
          <w:bCs/>
          <w:sz w:val="28"/>
          <w:szCs w:val="28"/>
        </w:rPr>
        <w:t>)с</w:t>
      </w:r>
      <w:proofErr w:type="gramEnd"/>
      <w:r>
        <w:rPr>
          <w:rFonts w:eastAsia="Calibri"/>
          <w:bCs/>
          <w:sz w:val="28"/>
          <w:szCs w:val="28"/>
        </w:rPr>
        <w:t>итуация.</w:t>
      </w:r>
    </w:p>
    <w:p w:rsidR="0069655C" w:rsidRDefault="0069655C" w:rsidP="0069655C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Формы проведения педагогической диагностики:</w:t>
      </w:r>
    </w:p>
    <w:p w:rsidR="0069655C" w:rsidRDefault="0069655C" w:rsidP="0069655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Индивидуальная;</w:t>
      </w:r>
    </w:p>
    <w:p w:rsidR="0069655C" w:rsidRDefault="0069655C" w:rsidP="0069655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Подгрупповая</w:t>
      </w:r>
    </w:p>
    <w:p w:rsidR="0069655C" w:rsidRDefault="0069655C" w:rsidP="0069655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Групповая.</w:t>
      </w:r>
    </w:p>
    <w:p w:rsidR="0069655C" w:rsidRDefault="0069655C" w:rsidP="0069655C">
      <w:pPr>
        <w:autoSpaceDE w:val="0"/>
        <w:autoSpaceDN w:val="0"/>
        <w:adjustRightInd w:val="0"/>
        <w:rPr>
          <w:sz w:val="28"/>
          <w:szCs w:val="28"/>
        </w:rPr>
      </w:pPr>
    </w:p>
    <w:p w:rsidR="00437DEA" w:rsidRDefault="00437DEA"/>
    <w:sectPr w:rsidR="0043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7D6F"/>
    <w:multiLevelType w:val="hybridMultilevel"/>
    <w:tmpl w:val="E0604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F2936"/>
    <w:multiLevelType w:val="hybridMultilevel"/>
    <w:tmpl w:val="93A00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95"/>
    <w:rsid w:val="00437DEA"/>
    <w:rsid w:val="00674395"/>
    <w:rsid w:val="0069655C"/>
    <w:rsid w:val="0098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5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5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5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5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5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5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1726450860309154E-2"/>
          <c:y val="5.5962379702537195E-2"/>
          <c:w val="0.6393615121026538"/>
          <c:h val="0.856531058617673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вторая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</c:v>
                </c:pt>
                <c:pt idx="1">
                  <c:v>51</c:v>
                </c:pt>
                <c:pt idx="2">
                  <c:v>74</c:v>
                </c:pt>
                <c:pt idx="3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8C-48E5-8AF2-CB59077380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познавательное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вторая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40</c:v>
                </c:pt>
                <c:pt idx="2">
                  <c:v>84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28C-48E5-8AF2-CB59077380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социально-коммуникативное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вторая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32</c:v>
                </c:pt>
                <c:pt idx="1">
                  <c:v>55</c:v>
                </c:pt>
                <c:pt idx="2">
                  <c:v>89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28C-48E5-8AF2-CB590773802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речевое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вторая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15</c:v>
                </c:pt>
                <c:pt idx="1">
                  <c:v>66</c:v>
                </c:pt>
                <c:pt idx="2">
                  <c:v>81</c:v>
                </c:pt>
                <c:pt idx="3">
                  <c:v>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28C-48E5-8AF2-CB590773802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художественно-эстетическое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вторая 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49</c:v>
                </c:pt>
                <c:pt idx="1">
                  <c:v>74</c:v>
                </c:pt>
                <c:pt idx="2">
                  <c:v>90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28C-48E5-8AF2-CB59077380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239296"/>
        <c:axId val="109318912"/>
      </c:barChart>
      <c:catAx>
        <c:axId val="109239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9318912"/>
        <c:crosses val="autoZero"/>
        <c:auto val="1"/>
        <c:lblAlgn val="ctr"/>
        <c:lblOffset val="100"/>
        <c:noMultiLvlLbl val="0"/>
      </c:catAx>
      <c:valAx>
        <c:axId val="109318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239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631945200398383"/>
          <c:y val="0.34137781461527861"/>
          <c:w val="0.29368054799601684"/>
          <c:h val="0.3172440944881888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2025-05-25T21:53:00Z</dcterms:created>
  <dcterms:modified xsi:type="dcterms:W3CDTF">2025-05-25T22:01:00Z</dcterms:modified>
</cp:coreProperties>
</file>