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 и своем развитии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половых и гендерных различиях людей во внешнем виде, поведении, интересах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 может назвать членов своей семьи и своих ближайших родственников, о структуре семьи, семейных ролях и отношениях, событиях в ней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правилами культуры поведения, в том числе и в общественных местах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начинает формироваться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оценка себя как личности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малой родине, о государственной символике Российской Федерации, государственных праздниках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орудиях труда и их назначении, свойствах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содержании хозяйственно-бытового труда взрослых, трудовых действиях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результатах труда, профессиях родителей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 правилах поведения в быту, в природе, на улице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способах взаимодействия с животными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навыками безопасного обращения с бытовыми приборами и предметами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реальном общении с незнакомыми людьми и в телефонных разговорах с ними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 балл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c27deaa15e40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