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старшей группы «Социально-коммуникативное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  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Социальные отношения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себе, своих правах, членах семьи, родственных отношениях, профессиях, семейных событиях и датах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1.2 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гендерных различиях в разных видах деятельности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правилах культуры общения и поведения во взаимодействии со сверстниками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умения договариваться, выражать отношение, предотвращать и преодолевать конфликтные ситуации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понимать ярко выраженные эмоциональные состояния  и чувства людей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правилах поведения в общественных местах, на улице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Формирование основ гражданственности и патриотизма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России как многонациональной стране, традициях и особенностях людей разных национальностей малой родины, государственных праздниках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Трудовое воспитание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труде взрослых, профессиях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трудовых действиях в сфере производительного и обслуживающего труда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назначении денег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безопасного поведения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безопасного поведения на улице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 в общественных местах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 в природе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 в реальном общении с незнакомыми людьми, в том числе в сети интернет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42–31балл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30–15 баллов–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 и ниже баллов –низкий уровень.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0ea842e5027481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